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C7" w:rsidRPr="001A1186" w:rsidRDefault="00A338C7" w:rsidP="00784F61">
      <w:pPr>
        <w:spacing w:after="0" w:line="312" w:lineRule="auto"/>
        <w:jc w:val="center"/>
        <w:rPr>
          <w:rFonts w:ascii="Times New Roman" w:hAnsi="Times New Roman" w:cs="Times New Roman"/>
          <w:b/>
          <w:bCs/>
          <w:color w:val="006666"/>
          <w:sz w:val="26"/>
          <w:szCs w:val="26"/>
          <w:lang w:val="vi-VN"/>
        </w:rPr>
      </w:pPr>
      <w:r w:rsidRPr="001A1186">
        <w:rPr>
          <w:rFonts w:ascii="Times New Roman" w:hAnsi="Times New Roman" w:cs="Times New Roman"/>
          <w:b/>
          <w:bCs/>
          <w:color w:val="006666"/>
          <w:sz w:val="26"/>
          <w:szCs w:val="26"/>
        </w:rPr>
        <w:t>C</w:t>
      </w:r>
      <w:r w:rsidR="00EE7728" w:rsidRPr="001A1186">
        <w:rPr>
          <w:rFonts w:ascii="Times New Roman" w:hAnsi="Times New Roman" w:cs="Times New Roman"/>
          <w:b/>
          <w:bCs/>
          <w:color w:val="006666"/>
          <w:sz w:val="26"/>
          <w:szCs w:val="26"/>
        </w:rPr>
        <w:t>ẬP</w:t>
      </w:r>
      <w:r w:rsidR="00EE7728" w:rsidRPr="001A1186">
        <w:rPr>
          <w:rFonts w:ascii="Times New Roman" w:hAnsi="Times New Roman" w:cs="Times New Roman"/>
          <w:b/>
          <w:bCs/>
          <w:color w:val="006666"/>
          <w:sz w:val="26"/>
          <w:szCs w:val="26"/>
          <w:lang w:val="vi-VN"/>
        </w:rPr>
        <w:t xml:space="preserve"> NHẬT THÔNG TIN </w:t>
      </w:r>
      <w:r w:rsidR="002D1701" w:rsidRPr="001A1186">
        <w:rPr>
          <w:rFonts w:ascii="Times New Roman" w:hAnsi="Times New Roman" w:cs="Times New Roman"/>
          <w:b/>
          <w:bCs/>
          <w:color w:val="006666"/>
          <w:sz w:val="26"/>
          <w:szCs w:val="26"/>
          <w:lang w:val="vi-VN"/>
        </w:rPr>
        <w:t xml:space="preserve">CẢNH GIÁC </w:t>
      </w:r>
      <w:r w:rsidR="00C9004D" w:rsidRPr="001A1186">
        <w:rPr>
          <w:rFonts w:ascii="Times New Roman" w:hAnsi="Times New Roman" w:cs="Times New Roman"/>
          <w:b/>
          <w:bCs/>
          <w:color w:val="006666"/>
          <w:sz w:val="26"/>
          <w:szCs w:val="26"/>
          <w:lang w:val="vi-VN"/>
        </w:rPr>
        <w:t>DƯỢC</w:t>
      </w:r>
    </w:p>
    <w:p w:rsidR="00784F61" w:rsidRPr="001A1186" w:rsidRDefault="00784F61" w:rsidP="00784F61">
      <w:pPr>
        <w:spacing w:after="0" w:line="312" w:lineRule="auto"/>
        <w:jc w:val="center"/>
        <w:rPr>
          <w:rFonts w:ascii="Times New Roman" w:hAnsi="Times New Roman" w:cs="Times New Roman"/>
          <w:b/>
          <w:bCs/>
          <w:color w:val="006666"/>
          <w:sz w:val="26"/>
          <w:szCs w:val="26"/>
          <w:lang w:val="vi-VN"/>
        </w:rPr>
      </w:pPr>
    </w:p>
    <w:p w:rsidR="00CD5538" w:rsidRPr="001A1186" w:rsidRDefault="00BF58E0" w:rsidP="00784F61">
      <w:pPr>
        <w:spacing w:after="0" w:line="312" w:lineRule="auto"/>
        <w:ind w:right="48"/>
        <w:rPr>
          <w:rFonts w:ascii="Times New Roman" w:hAnsi="Times New Roman" w:cs="Times New Roman"/>
          <w:b/>
          <w:bCs/>
          <w:color w:val="000000" w:themeColor="text1"/>
          <w:sz w:val="26"/>
          <w:szCs w:val="26"/>
        </w:rPr>
      </w:pPr>
      <w:r w:rsidRPr="001A1186">
        <w:rPr>
          <w:rFonts w:ascii="Times New Roman" w:hAnsi="Times New Roman" w:cs="Times New Roman"/>
          <w:b/>
          <w:bCs/>
          <w:color w:val="000000" w:themeColor="text1"/>
          <w:sz w:val="26"/>
          <w:szCs w:val="26"/>
        </w:rPr>
        <w:t>A</w:t>
      </w:r>
      <w:r w:rsidR="001E33B2" w:rsidRPr="001A1186">
        <w:rPr>
          <w:rFonts w:ascii="Times New Roman" w:hAnsi="Times New Roman" w:cs="Times New Roman"/>
          <w:b/>
          <w:bCs/>
          <w:color w:val="000000" w:themeColor="text1"/>
          <w:sz w:val="26"/>
          <w:szCs w:val="26"/>
        </w:rPr>
        <w:t>NSM: Chế độ liều mới thấp hơn và một số khuyến cáo nhằm giảm nguy cơ quá liều khi sử dụng colchicin điều trị gout</w:t>
      </w:r>
      <w:r w:rsidR="00CD5538" w:rsidRPr="001A1186">
        <w:rPr>
          <w:rFonts w:ascii="Times New Roman" w:hAnsi="Times New Roman" w:cs="Times New Roman"/>
          <w:color w:val="000000" w:themeColor="text1"/>
          <w:sz w:val="26"/>
          <w:szCs w:val="26"/>
          <w:shd w:val="clear" w:color="auto" w:fill="FFFFFF"/>
        </w:rPr>
        <w:t>.</w:t>
      </w:r>
    </w:p>
    <w:p w:rsidR="001E33B2" w:rsidRPr="001A1186" w:rsidRDefault="001E33B2" w:rsidP="00784F61">
      <w:pPr>
        <w:spacing w:after="0" w:line="312" w:lineRule="auto"/>
        <w:ind w:right="48"/>
        <w:rPr>
          <w:rFonts w:ascii="Times New Roman" w:hAnsi="Times New Roman" w:cs="Times New Roman"/>
          <w:bCs/>
          <w:color w:val="000000" w:themeColor="text1"/>
          <w:sz w:val="26"/>
          <w:szCs w:val="26"/>
        </w:rPr>
      </w:pPr>
      <w:r w:rsidRPr="001A1186">
        <w:rPr>
          <w:rFonts w:ascii="Times New Roman" w:hAnsi="Times New Roman" w:cs="Times New Roman"/>
          <w:bCs/>
          <w:color w:val="000000" w:themeColor="text1"/>
          <w:sz w:val="26"/>
          <w:szCs w:val="26"/>
        </w:rPr>
        <w:t>Do số lượng lớn các ca ngộ độc colchicin, Cơ quan Quản lý Dược phẩm Pháp (ANSM) yêu cầu giảm liều thuốc này trong phác đồ phòng và điều trị gout theo khuyến nghị của Liên đoàn chống Thấp khớ</w:t>
      </w:r>
      <w:r w:rsidR="002414D3" w:rsidRPr="001A1186">
        <w:rPr>
          <w:rFonts w:ascii="Times New Roman" w:hAnsi="Times New Roman" w:cs="Times New Roman"/>
          <w:bCs/>
          <w:color w:val="000000" w:themeColor="text1"/>
          <w:sz w:val="26"/>
          <w:szCs w:val="26"/>
        </w:rPr>
        <w:t>p châu Âu</w:t>
      </w:r>
      <w:r w:rsidR="002414D3" w:rsidRPr="001A1186">
        <w:rPr>
          <w:rFonts w:ascii="Times New Roman" w:hAnsi="Times New Roman" w:cs="Times New Roman"/>
          <w:bCs/>
          <w:color w:val="000000" w:themeColor="text1"/>
          <w:sz w:val="26"/>
          <w:szCs w:val="26"/>
          <w:lang w:val="vi-VN"/>
        </w:rPr>
        <w:t xml:space="preserve"> (EULAR)</w:t>
      </w:r>
      <w:r w:rsidRPr="001A1186">
        <w:rPr>
          <w:rFonts w:ascii="Times New Roman" w:hAnsi="Times New Roman" w:cs="Times New Roman"/>
          <w:bCs/>
          <w:color w:val="000000" w:themeColor="text1"/>
          <w:sz w:val="26"/>
          <w:szCs w:val="26"/>
        </w:rPr>
        <w:t xml:space="preserve"> và Hiệp hội Thấp khớp Pháp</w:t>
      </w:r>
      <w:r w:rsidR="00A338C7" w:rsidRPr="001A1186">
        <w:rPr>
          <w:rFonts w:ascii="Times New Roman" w:hAnsi="Times New Roman" w:cs="Times New Roman"/>
          <w:bCs/>
          <w:color w:val="000000" w:themeColor="text1"/>
          <w:sz w:val="26"/>
          <w:szCs w:val="26"/>
          <w:lang w:val="vi-VN"/>
        </w:rPr>
        <w:t xml:space="preserve"> (SFR)</w:t>
      </w:r>
      <w:r w:rsidRPr="001A1186">
        <w:rPr>
          <w:rFonts w:ascii="Times New Roman" w:hAnsi="Times New Roman" w:cs="Times New Roman"/>
          <w:bCs/>
          <w:color w:val="000000" w:themeColor="text1"/>
          <w:sz w:val="26"/>
          <w:szCs w:val="26"/>
        </w:rPr>
        <w:t>. Đối với các trường hợp có biểu hiện tiêu chảy, buồn nôn, nôn, hay xuất hiện các triệu chứng sử dụng quá liều colchicin, cần giảm liều hoặc ngừng việc điều trị bằng colchicin.</w:t>
      </w:r>
    </w:p>
    <w:p w:rsidR="001E33B2" w:rsidRPr="001A1186" w:rsidRDefault="001E33B2" w:rsidP="00784F61">
      <w:pPr>
        <w:pStyle w:val="NormalWeb"/>
        <w:spacing w:before="0" w:beforeAutospacing="0" w:after="0" w:afterAutospacing="0" w:line="312" w:lineRule="auto"/>
        <w:ind w:right="48"/>
        <w:jc w:val="both"/>
        <w:rPr>
          <w:color w:val="414141"/>
          <w:sz w:val="26"/>
          <w:szCs w:val="26"/>
        </w:rPr>
      </w:pPr>
      <w:r w:rsidRPr="001A1186">
        <w:rPr>
          <w:b/>
          <w:bCs/>
          <w:color w:val="000000"/>
          <w:sz w:val="26"/>
          <w:szCs w:val="26"/>
        </w:rPr>
        <w:t>Phác đồ điều trị mới:</w:t>
      </w:r>
    </w:p>
    <w:p w:rsidR="001E33B2" w:rsidRPr="001A1186" w:rsidRDefault="001E33B2" w:rsidP="00784F61">
      <w:pPr>
        <w:pStyle w:val="NormalWeb"/>
        <w:spacing w:before="0" w:beforeAutospacing="0" w:after="0" w:afterAutospacing="0" w:line="312" w:lineRule="auto"/>
        <w:ind w:right="48"/>
        <w:jc w:val="both"/>
        <w:rPr>
          <w:color w:val="414141"/>
          <w:sz w:val="26"/>
          <w:szCs w:val="26"/>
          <w:lang w:val="vi-VN"/>
        </w:rPr>
      </w:pPr>
      <w:r w:rsidRPr="001A1186">
        <w:rPr>
          <w:b/>
          <w:bCs/>
          <w:color w:val="000000"/>
          <w:sz w:val="26"/>
          <w:szCs w:val="26"/>
        </w:rPr>
        <w:t xml:space="preserve">Cơn gout </w:t>
      </w:r>
      <w:r w:rsidR="007275B0" w:rsidRPr="001A1186">
        <w:rPr>
          <w:b/>
          <w:bCs/>
          <w:color w:val="000000"/>
          <w:sz w:val="26"/>
          <w:szCs w:val="26"/>
        </w:rPr>
        <w:t>cấp</w:t>
      </w:r>
      <w:r w:rsidR="007275B0" w:rsidRPr="001A1186">
        <w:rPr>
          <w:b/>
          <w:bCs/>
          <w:color w:val="000000"/>
          <w:sz w:val="26"/>
          <w:szCs w:val="26"/>
          <w:lang w:val="vi-VN"/>
        </w:rPr>
        <w:t>:</w:t>
      </w:r>
    </w:p>
    <w:p w:rsidR="001E33B2" w:rsidRPr="001A1186" w:rsidRDefault="001E33B2" w:rsidP="00784F61">
      <w:pPr>
        <w:pStyle w:val="NormalWeb"/>
        <w:spacing w:before="0" w:beforeAutospacing="0" w:after="0" w:afterAutospacing="0" w:line="312" w:lineRule="auto"/>
        <w:ind w:right="48"/>
        <w:jc w:val="both"/>
        <w:rPr>
          <w:color w:val="414141"/>
          <w:sz w:val="26"/>
          <w:szCs w:val="26"/>
        </w:rPr>
      </w:pPr>
      <w:r w:rsidRPr="001A1186">
        <w:rPr>
          <w:rStyle w:val="Emphasis"/>
          <w:color w:val="000000"/>
          <w:sz w:val="26"/>
          <w:szCs w:val="26"/>
        </w:rPr>
        <w:t>Ngày đầu:</w:t>
      </w:r>
    </w:p>
    <w:p w:rsidR="001E33B2" w:rsidRPr="001A1186" w:rsidRDefault="001E33B2" w:rsidP="00784F61">
      <w:pPr>
        <w:pStyle w:val="NormalWeb"/>
        <w:spacing w:before="0" w:beforeAutospacing="0" w:after="0" w:afterAutospacing="0" w:line="312" w:lineRule="auto"/>
        <w:ind w:left="600" w:right="48"/>
        <w:jc w:val="both"/>
        <w:rPr>
          <w:color w:val="414141"/>
          <w:sz w:val="26"/>
          <w:szCs w:val="26"/>
        </w:rPr>
      </w:pPr>
      <w:r w:rsidRPr="001A1186">
        <w:rPr>
          <w:color w:val="000000"/>
          <w:sz w:val="26"/>
          <w:szCs w:val="26"/>
        </w:rPr>
        <w:t>- Bắt đầu sử dụng colchicin càng sớm càng tốt</w:t>
      </w:r>
    </w:p>
    <w:p w:rsidR="001E33B2" w:rsidRPr="001A1186" w:rsidRDefault="001E33B2" w:rsidP="00784F61">
      <w:pPr>
        <w:pStyle w:val="NormalWeb"/>
        <w:spacing w:before="0" w:beforeAutospacing="0" w:after="0" w:afterAutospacing="0" w:line="312" w:lineRule="auto"/>
        <w:ind w:left="600" w:right="48"/>
        <w:jc w:val="both"/>
        <w:rPr>
          <w:color w:val="414141"/>
          <w:sz w:val="26"/>
          <w:szCs w:val="26"/>
        </w:rPr>
      </w:pPr>
      <w:r w:rsidRPr="001A1186">
        <w:rPr>
          <w:color w:val="000000"/>
          <w:sz w:val="26"/>
          <w:szCs w:val="26"/>
        </w:rPr>
        <w:t>- Liều nạp 1mg</w:t>
      </w:r>
    </w:p>
    <w:p w:rsidR="001E33B2" w:rsidRPr="001A1186" w:rsidRDefault="001E33B2" w:rsidP="00784F61">
      <w:pPr>
        <w:pStyle w:val="NormalWeb"/>
        <w:spacing w:before="0" w:beforeAutospacing="0" w:after="0" w:afterAutospacing="0" w:line="312" w:lineRule="auto"/>
        <w:ind w:left="600" w:right="48"/>
        <w:jc w:val="both"/>
        <w:rPr>
          <w:color w:val="414141"/>
          <w:sz w:val="26"/>
          <w:szCs w:val="26"/>
        </w:rPr>
      </w:pPr>
      <w:r w:rsidRPr="001A1186">
        <w:rPr>
          <w:color w:val="000000"/>
          <w:sz w:val="26"/>
          <w:szCs w:val="26"/>
        </w:rPr>
        <w:t>- Một giờ sau: 0,5mg</w:t>
      </w:r>
    </w:p>
    <w:p w:rsidR="001E33B2" w:rsidRPr="001A1186" w:rsidRDefault="001E33B2" w:rsidP="00784F61">
      <w:pPr>
        <w:pStyle w:val="NormalWeb"/>
        <w:spacing w:before="0" w:beforeAutospacing="0" w:after="0" w:afterAutospacing="0" w:line="312" w:lineRule="auto"/>
        <w:ind w:right="48"/>
        <w:jc w:val="both"/>
        <w:rPr>
          <w:color w:val="414141"/>
          <w:sz w:val="26"/>
          <w:szCs w:val="26"/>
        </w:rPr>
      </w:pPr>
      <w:r w:rsidRPr="001A1186">
        <w:rPr>
          <w:rStyle w:val="Emphasis"/>
          <w:color w:val="000000"/>
          <w:sz w:val="26"/>
          <w:szCs w:val="26"/>
        </w:rPr>
        <w:t>Từ ngày thứ hai:</w:t>
      </w:r>
    </w:p>
    <w:p w:rsidR="001E33B2" w:rsidRPr="001A1186" w:rsidRDefault="001E33B2" w:rsidP="00784F61">
      <w:pPr>
        <w:pStyle w:val="NormalWeb"/>
        <w:spacing w:before="0" w:beforeAutospacing="0" w:after="0" w:afterAutospacing="0" w:line="312" w:lineRule="auto"/>
        <w:ind w:left="600" w:right="48"/>
        <w:jc w:val="both"/>
        <w:rPr>
          <w:color w:val="414141"/>
          <w:sz w:val="26"/>
          <w:szCs w:val="26"/>
        </w:rPr>
      </w:pPr>
      <w:r w:rsidRPr="001A1186">
        <w:rPr>
          <w:color w:val="000000"/>
          <w:sz w:val="26"/>
          <w:szCs w:val="26"/>
        </w:rPr>
        <w:t>- Liều 0,5mg với 2-3 lần/ngày</w:t>
      </w:r>
    </w:p>
    <w:p w:rsidR="001E33B2" w:rsidRPr="001A1186" w:rsidRDefault="001E33B2" w:rsidP="00067C99">
      <w:pPr>
        <w:pStyle w:val="NormalWeb"/>
        <w:spacing w:before="0" w:beforeAutospacing="0" w:after="0" w:afterAutospacing="0" w:line="312" w:lineRule="auto"/>
        <w:ind w:left="600" w:right="48"/>
        <w:jc w:val="both"/>
        <w:rPr>
          <w:color w:val="414141"/>
          <w:sz w:val="26"/>
          <w:szCs w:val="26"/>
        </w:rPr>
      </w:pPr>
      <w:r w:rsidRPr="001A1186">
        <w:rPr>
          <w:color w:val="000000"/>
          <w:sz w:val="26"/>
          <w:szCs w:val="26"/>
        </w:rPr>
        <w:t>- Tuỳ thuộc vào tiến triển của bệnh và khả năng xuất hi</w:t>
      </w:r>
      <w:r w:rsidR="00067C99" w:rsidRPr="001A1186">
        <w:rPr>
          <w:color w:val="000000"/>
          <w:sz w:val="26"/>
          <w:szCs w:val="26"/>
        </w:rPr>
        <w:t>ện các biểu hiện của hiện tượng</w:t>
      </w:r>
      <w:r w:rsidRPr="001A1186">
        <w:rPr>
          <w:color w:val="000000"/>
          <w:sz w:val="26"/>
          <w:szCs w:val="26"/>
        </w:rPr>
        <w:t xml:space="preserve"> không dung nạp thuốc.</w:t>
      </w:r>
    </w:p>
    <w:p w:rsidR="001E33B2" w:rsidRPr="001A1186" w:rsidRDefault="001E33B2" w:rsidP="00784F61">
      <w:pPr>
        <w:pStyle w:val="NormalWeb"/>
        <w:spacing w:before="0" w:beforeAutospacing="0" w:after="0" w:afterAutospacing="0" w:line="312" w:lineRule="auto"/>
        <w:ind w:right="48"/>
        <w:jc w:val="both"/>
        <w:rPr>
          <w:color w:val="414141"/>
          <w:sz w:val="26"/>
          <w:szCs w:val="26"/>
          <w:lang w:val="vi-VN"/>
        </w:rPr>
      </w:pPr>
      <w:r w:rsidRPr="001A1186">
        <w:rPr>
          <w:b/>
          <w:bCs/>
          <w:color w:val="000000"/>
          <w:sz w:val="26"/>
          <w:szCs w:val="26"/>
        </w:rPr>
        <w:t>Dự phòng cơn gout cấp trên nền bệnh nhân gout mạn tính, đặc biệt khi bắt đầu điều trị hạ acid uric máu</w:t>
      </w:r>
      <w:r w:rsidR="007275B0" w:rsidRPr="001A1186">
        <w:rPr>
          <w:b/>
          <w:bCs/>
          <w:color w:val="000000"/>
          <w:sz w:val="26"/>
          <w:szCs w:val="26"/>
          <w:lang w:val="vi-VN"/>
        </w:rPr>
        <w:t>:</w:t>
      </w:r>
      <w:bookmarkStart w:id="0" w:name="_GoBack"/>
      <w:bookmarkEnd w:id="0"/>
    </w:p>
    <w:p w:rsidR="001E33B2" w:rsidRPr="001A1186" w:rsidRDefault="001E33B2" w:rsidP="00784F61">
      <w:pPr>
        <w:pStyle w:val="NormalWeb"/>
        <w:spacing w:before="0" w:beforeAutospacing="0" w:after="0" w:afterAutospacing="0" w:line="312" w:lineRule="auto"/>
        <w:ind w:right="48"/>
        <w:jc w:val="both"/>
        <w:rPr>
          <w:color w:val="414141"/>
          <w:sz w:val="26"/>
          <w:szCs w:val="26"/>
        </w:rPr>
      </w:pPr>
      <w:r w:rsidRPr="001A1186">
        <w:rPr>
          <w:color w:val="000000"/>
          <w:sz w:val="26"/>
          <w:szCs w:val="26"/>
        </w:rPr>
        <w:t xml:space="preserve">- Đối với bệnh nhân có chức năng gan, thận bình thường: </w:t>
      </w:r>
    </w:p>
    <w:p w:rsidR="001E33B2" w:rsidRPr="001A1186" w:rsidRDefault="001E33B2" w:rsidP="00784F61">
      <w:pPr>
        <w:pStyle w:val="NormalWeb"/>
        <w:spacing w:before="0" w:beforeAutospacing="0" w:after="0" w:afterAutospacing="0" w:line="312" w:lineRule="auto"/>
        <w:ind w:left="600" w:right="48"/>
        <w:jc w:val="both"/>
        <w:rPr>
          <w:color w:val="414141"/>
          <w:sz w:val="26"/>
          <w:szCs w:val="26"/>
        </w:rPr>
      </w:pPr>
      <w:r w:rsidRPr="001A1186">
        <w:rPr>
          <w:color w:val="000000"/>
          <w:sz w:val="26"/>
          <w:szCs w:val="26"/>
        </w:rPr>
        <w:t>Liều 0</w:t>
      </w:r>
      <w:proofErr w:type="gramStart"/>
      <w:r w:rsidRPr="001A1186">
        <w:rPr>
          <w:color w:val="000000"/>
          <w:sz w:val="26"/>
          <w:szCs w:val="26"/>
        </w:rPr>
        <w:t>,5</w:t>
      </w:r>
      <w:proofErr w:type="gramEnd"/>
      <w:r w:rsidR="00EE7728" w:rsidRPr="001A1186">
        <w:rPr>
          <w:color w:val="000000"/>
          <w:sz w:val="26"/>
          <w:szCs w:val="26"/>
          <w:lang w:val="vi-VN"/>
        </w:rPr>
        <w:t xml:space="preserve"> </w:t>
      </w:r>
      <w:r w:rsidRPr="001A1186">
        <w:rPr>
          <w:color w:val="000000"/>
          <w:sz w:val="26"/>
          <w:szCs w:val="26"/>
        </w:rPr>
        <w:t>-1mg/ngày</w:t>
      </w:r>
    </w:p>
    <w:p w:rsidR="001E33B2" w:rsidRPr="001A1186" w:rsidRDefault="001E33B2" w:rsidP="00784F61">
      <w:pPr>
        <w:pStyle w:val="NormalWeb"/>
        <w:spacing w:before="0" w:beforeAutospacing="0" w:after="0" w:afterAutospacing="0" w:line="312" w:lineRule="auto"/>
        <w:ind w:left="600" w:right="48"/>
        <w:jc w:val="both"/>
        <w:rPr>
          <w:color w:val="414141"/>
          <w:sz w:val="26"/>
          <w:szCs w:val="26"/>
        </w:rPr>
      </w:pPr>
      <w:r w:rsidRPr="001A1186">
        <w:rPr>
          <w:color w:val="000000"/>
          <w:sz w:val="26"/>
          <w:szCs w:val="26"/>
        </w:rPr>
        <w:t>Tuỳ thuộc vào tiến triển của bệnh và khả năng xuất hiện các biểu hiện không dung nạp thuốc.</w:t>
      </w:r>
    </w:p>
    <w:p w:rsidR="001E33B2" w:rsidRPr="001A1186" w:rsidRDefault="001E33B2" w:rsidP="00784F61">
      <w:pPr>
        <w:pStyle w:val="NormalWeb"/>
        <w:spacing w:before="0" w:beforeAutospacing="0" w:after="0" w:afterAutospacing="0" w:line="312" w:lineRule="auto"/>
        <w:ind w:right="48"/>
        <w:jc w:val="both"/>
        <w:rPr>
          <w:color w:val="414141"/>
          <w:sz w:val="26"/>
          <w:szCs w:val="26"/>
        </w:rPr>
      </w:pPr>
      <w:r w:rsidRPr="001A1186">
        <w:rPr>
          <w:color w:val="000000"/>
          <w:sz w:val="26"/>
          <w:szCs w:val="26"/>
        </w:rPr>
        <w:t>- Đối với bệnh nhân suy thận và/hoặc suy gan mức độ nhẹ đến trung bình:</w:t>
      </w:r>
    </w:p>
    <w:p w:rsidR="001E33B2" w:rsidRPr="001A1186" w:rsidRDefault="001E33B2" w:rsidP="00784F61">
      <w:pPr>
        <w:pStyle w:val="NormalWeb"/>
        <w:spacing w:before="0" w:beforeAutospacing="0" w:after="0" w:afterAutospacing="0" w:line="312" w:lineRule="auto"/>
        <w:ind w:left="600" w:right="48"/>
        <w:jc w:val="both"/>
        <w:rPr>
          <w:color w:val="414141"/>
          <w:sz w:val="26"/>
          <w:szCs w:val="26"/>
        </w:rPr>
      </w:pPr>
      <w:r w:rsidRPr="001A1186">
        <w:rPr>
          <w:color w:val="000000"/>
          <w:sz w:val="26"/>
          <w:szCs w:val="26"/>
        </w:rPr>
        <w:t>Bắt đầu với liều 0,5mg/ngày</w:t>
      </w:r>
    </w:p>
    <w:p w:rsidR="001E33B2" w:rsidRPr="001A1186" w:rsidRDefault="001E33B2" w:rsidP="00784F61">
      <w:pPr>
        <w:pStyle w:val="NormalWeb"/>
        <w:spacing w:before="0" w:beforeAutospacing="0" w:after="0" w:afterAutospacing="0" w:line="312" w:lineRule="auto"/>
        <w:ind w:right="48"/>
        <w:jc w:val="both"/>
        <w:rPr>
          <w:color w:val="414141"/>
          <w:sz w:val="26"/>
          <w:szCs w:val="26"/>
        </w:rPr>
      </w:pPr>
      <w:r w:rsidRPr="001A1186">
        <w:rPr>
          <w:color w:val="000000"/>
          <w:sz w:val="26"/>
          <w:szCs w:val="26"/>
        </w:rPr>
        <w:t>- Trong trường hợp có tác dụng không mong muốn và bệnh nhân suy thận mức độ trung bình</w:t>
      </w:r>
    </w:p>
    <w:p w:rsidR="001E33B2" w:rsidRPr="001A1186" w:rsidRDefault="001E33B2" w:rsidP="00784F61">
      <w:pPr>
        <w:pStyle w:val="NormalWeb"/>
        <w:spacing w:before="0" w:beforeAutospacing="0" w:after="0" w:afterAutospacing="0" w:line="312" w:lineRule="auto"/>
        <w:ind w:left="600"/>
        <w:rPr>
          <w:color w:val="414141"/>
          <w:sz w:val="26"/>
          <w:szCs w:val="26"/>
        </w:rPr>
      </w:pPr>
      <w:r w:rsidRPr="001A1186">
        <w:rPr>
          <w:color w:val="000000"/>
          <w:sz w:val="26"/>
          <w:szCs w:val="26"/>
        </w:rPr>
        <w:t>Giảm liều xuống 0.5mg, dùng 2 ngày 1 lần. </w:t>
      </w:r>
    </w:p>
    <w:p w:rsidR="00784F61" w:rsidRPr="001A1186" w:rsidRDefault="00BF58E0" w:rsidP="00784F61">
      <w:pPr>
        <w:spacing w:after="0" w:line="312" w:lineRule="auto"/>
        <w:ind w:firstLine="0"/>
        <w:jc w:val="left"/>
        <w:rPr>
          <w:rFonts w:ascii="Times New Roman" w:hAnsi="Times New Roman" w:cs="Times New Roman"/>
          <w:b/>
          <w:sz w:val="26"/>
          <w:szCs w:val="26"/>
          <w:lang w:val="vi-VN"/>
        </w:rPr>
      </w:pPr>
      <w:r w:rsidRPr="001A1186">
        <w:rPr>
          <w:rFonts w:ascii="Times New Roman" w:hAnsi="Times New Roman" w:cs="Times New Roman"/>
          <w:b/>
          <w:sz w:val="26"/>
          <w:szCs w:val="26"/>
        </w:rPr>
        <w:t>Nguồn</w:t>
      </w:r>
      <w:r w:rsidR="00C9004D" w:rsidRPr="001A1186">
        <w:rPr>
          <w:rFonts w:ascii="Times New Roman" w:hAnsi="Times New Roman" w:cs="Times New Roman"/>
          <w:b/>
          <w:sz w:val="26"/>
          <w:szCs w:val="26"/>
          <w:lang w:val="vi-VN"/>
        </w:rPr>
        <w:t xml:space="preserve">: </w:t>
      </w:r>
      <w:r w:rsidR="00C954AC" w:rsidRPr="00153858">
        <w:rPr>
          <w:rFonts w:ascii="Times New Roman" w:hAnsi="Times New Roman" w:cs="Times New Roman"/>
          <w:sz w:val="26"/>
          <w:szCs w:val="26"/>
          <w:lang w:val="vi-VN"/>
        </w:rPr>
        <w:t xml:space="preserve">Từ </w:t>
      </w:r>
      <w:r w:rsidR="00153858" w:rsidRPr="00153858">
        <w:rPr>
          <w:rFonts w:ascii="Times New Roman" w:hAnsi="Times New Roman" w:cs="Times New Roman"/>
          <w:sz w:val="26"/>
          <w:szCs w:val="26"/>
          <w:lang w:val="vi-VN"/>
        </w:rPr>
        <w:t>t</w:t>
      </w:r>
      <w:r w:rsidR="00724CF1" w:rsidRPr="00153858">
        <w:rPr>
          <w:rFonts w:ascii="Times New Roman" w:hAnsi="Times New Roman" w:cs="Times New Roman"/>
          <w:sz w:val="26"/>
          <w:szCs w:val="26"/>
          <w:lang w:val="vi-VN"/>
        </w:rPr>
        <w:t xml:space="preserve">rung tâm DI </w:t>
      </w:r>
      <w:r w:rsidR="00C954AC" w:rsidRPr="00153858">
        <w:rPr>
          <w:rFonts w:ascii="Times New Roman" w:hAnsi="Times New Roman" w:cs="Times New Roman"/>
          <w:sz w:val="26"/>
          <w:szCs w:val="26"/>
          <w:lang w:val="vi-VN"/>
        </w:rPr>
        <w:t>&amp; ADR quốc gia</w:t>
      </w:r>
    </w:p>
    <w:p w:rsidR="00EE7728" w:rsidRDefault="00784F61" w:rsidP="00784F61">
      <w:pPr>
        <w:spacing w:after="0" w:line="312" w:lineRule="auto"/>
        <w:ind w:firstLine="0"/>
        <w:jc w:val="left"/>
        <w:rPr>
          <w:rFonts w:ascii="Times New Roman" w:hAnsi="Times New Roman" w:cs="Times New Roman"/>
          <w:sz w:val="26"/>
          <w:szCs w:val="26"/>
          <w:lang w:val="vi-VN"/>
        </w:rPr>
      </w:pPr>
      <w:hyperlink r:id="rId4" w:history="1">
        <w:r w:rsidRPr="001A1186">
          <w:rPr>
            <w:rStyle w:val="Hyperlink"/>
            <w:rFonts w:ascii="Times New Roman" w:hAnsi="Times New Roman" w:cs="Times New Roman"/>
            <w:sz w:val="26"/>
            <w:szCs w:val="26"/>
            <w:lang w:val="vi-VN"/>
          </w:rPr>
          <w:t>http://canhgiacduoc.org.vn/CanhGiacDuoc/DiemTin/2460/ANSM-che-do-lieu-moi-colchicin.htm</w:t>
        </w:r>
      </w:hyperlink>
      <w:r w:rsidRPr="001A1186">
        <w:rPr>
          <w:rFonts w:ascii="Times New Roman" w:hAnsi="Times New Roman" w:cs="Times New Roman"/>
          <w:sz w:val="26"/>
          <w:szCs w:val="26"/>
          <w:lang w:val="vi-VN"/>
        </w:rPr>
        <w:t xml:space="preserve"> , đăng ngày 06/11/2023.</w:t>
      </w:r>
    </w:p>
    <w:p w:rsidR="002F508C" w:rsidRPr="001A1186" w:rsidRDefault="00153858" w:rsidP="00784F61">
      <w:pPr>
        <w:spacing w:after="0" w:line="312" w:lineRule="auto"/>
        <w:ind w:firstLine="0"/>
        <w:jc w:val="left"/>
        <w:rPr>
          <w:rFonts w:ascii="Times New Roman" w:hAnsi="Times New Roman" w:cs="Times New Roman"/>
          <w:sz w:val="26"/>
          <w:szCs w:val="26"/>
          <w:lang w:val="vi-VN"/>
        </w:rPr>
      </w:pPr>
      <w:hyperlink r:id="rId5" w:history="1">
        <w:r w:rsidRPr="006E751E">
          <w:rPr>
            <w:rStyle w:val="Hyperlink"/>
            <w:rFonts w:ascii="Times New Roman" w:hAnsi="Times New Roman" w:cs="Times New Roman"/>
            <w:sz w:val="26"/>
            <w:szCs w:val="26"/>
            <w:lang w:val="vi-VN"/>
          </w:rPr>
          <w:t>https://ansm.sante.fr/informations-de-securite/prise-en-charge-par-colchicine-de-la-goutte-une-nouvelle-posologie-plus-faible-et-un-message-dalerte-sur-les-boites-pour-reduire-le-risque-de-surdosage</w:t>
        </w:r>
      </w:hyperlink>
      <w:r>
        <w:rPr>
          <w:rFonts w:ascii="Times New Roman" w:hAnsi="Times New Roman" w:cs="Times New Roman"/>
          <w:sz w:val="26"/>
          <w:szCs w:val="26"/>
          <w:lang w:val="vi-VN"/>
        </w:rPr>
        <w:t xml:space="preserve"> , đăng ngày 10/10/2023</w:t>
      </w:r>
    </w:p>
    <w:sectPr w:rsidR="002F508C" w:rsidRPr="001A1186" w:rsidSect="00153858">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B2"/>
    <w:rsid w:val="00067C99"/>
    <w:rsid w:val="00153858"/>
    <w:rsid w:val="001A1186"/>
    <w:rsid w:val="001E33B2"/>
    <w:rsid w:val="002414D3"/>
    <w:rsid w:val="002D1701"/>
    <w:rsid w:val="002F508C"/>
    <w:rsid w:val="00724CF1"/>
    <w:rsid w:val="007275B0"/>
    <w:rsid w:val="00754BAA"/>
    <w:rsid w:val="00784F61"/>
    <w:rsid w:val="0085327D"/>
    <w:rsid w:val="00A338C7"/>
    <w:rsid w:val="00BF58E0"/>
    <w:rsid w:val="00C9004D"/>
    <w:rsid w:val="00C954AC"/>
    <w:rsid w:val="00CD5538"/>
    <w:rsid w:val="00E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D4A49-E67A-4C60-91A5-AA815C40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12" w:lineRule="auto"/>
        <w:ind w:right="335"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3B2"/>
    <w:pPr>
      <w:spacing w:before="100" w:beforeAutospacing="1" w:after="100" w:afterAutospacing="1" w:line="240" w:lineRule="auto"/>
      <w:ind w:right="0"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1E33B2"/>
    <w:rPr>
      <w:i/>
      <w:iCs/>
    </w:rPr>
  </w:style>
  <w:style w:type="character" w:styleId="Hyperlink">
    <w:name w:val="Hyperlink"/>
    <w:basedOn w:val="DefaultParagraphFont"/>
    <w:uiPriority w:val="99"/>
    <w:unhideWhenUsed/>
    <w:rsid w:val="00784F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2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sm.sante.fr/informations-de-securite/prise-en-charge-par-colchicine-de-la-goutte-une-nouvelle-posologie-plus-faible-et-un-message-dalerte-sur-les-boites-pour-reduire-le-risque-de-surdosage" TargetMode="External"/><Relationship Id="rId4" Type="http://schemas.openxmlformats.org/officeDocument/2006/relationships/hyperlink" Target="http://canhgiacduoc.org.vn/CanhGiacDuoc/DiemTin/2460/ANSM-che-do-lieu-moi-colchic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Viettel</dc:creator>
  <cp:keywords/>
  <dc:description/>
  <cp:lastModifiedBy>Viettel</cp:lastModifiedBy>
  <cp:revision>2</cp:revision>
  <dcterms:created xsi:type="dcterms:W3CDTF">2023-11-07T03:27:00Z</dcterms:created>
  <dcterms:modified xsi:type="dcterms:W3CDTF">2023-11-07T03:27:00Z</dcterms:modified>
</cp:coreProperties>
</file>